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392" w:rsidRPr="00D93392" w:rsidRDefault="00D93392" w:rsidP="00D9339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93392">
        <w:rPr>
          <w:rFonts w:ascii="Times New Roman" w:eastAsia="Times New Roman" w:hAnsi="Times New Roman" w:cs="Times New Roman"/>
          <w:b/>
          <w:bCs/>
          <w:kern w:val="36"/>
          <w:sz w:val="48"/>
          <w:szCs w:val="48"/>
          <w14:ligatures w14:val="none"/>
        </w:rPr>
        <w:t>Working-Draft Outline</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Working Title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 xml:space="preserve">Adolescent Pornography Exposure: Distinguishing Sexual Curiosity </w:t>
      </w:r>
      <w:r w:rsidRPr="00D93392">
        <w:rPr>
          <w:rFonts w:ascii="Times New Roman" w:eastAsia="Times New Roman" w:hAnsi="Times New Roman" w:cs="Times New Roman"/>
          <w:b/>
          <w:bCs/>
          <w:kern w:val="0"/>
          <w14:ligatures w14:val="none"/>
        </w:rPr>
        <w:t>from</w:t>
      </w:r>
      <w:r w:rsidRPr="00D93392">
        <w:rPr>
          <w:rFonts w:ascii="Times New Roman" w:eastAsia="Times New Roman" w:hAnsi="Times New Roman" w:cs="Times New Roman"/>
          <w:b/>
          <w:bCs/>
          <w:kern w:val="0"/>
          <w14:ligatures w14:val="none"/>
        </w:rPr>
        <w:t xml:space="preserve"> Problematic Use</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Resource Readiness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available resources are sufficient to complete the assignment:</w:t>
      </w:r>
    </w:p>
    <w:p w:rsidR="00D93392" w:rsidRPr="00D93392" w:rsidRDefault="00D93392" w:rsidP="00D9339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textbook provides definitions, theories, controversies, and the distinction between typical and problematic sexual behavior.</w:t>
      </w:r>
    </w:p>
    <w:p w:rsidR="00D93392" w:rsidRPr="00D93392" w:rsidRDefault="00D93392" w:rsidP="00D9339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Pathmendra et al. provide the strongest research evidence through a systematic review.</w:t>
      </w:r>
    </w:p>
    <w:p w:rsidR="00D93392" w:rsidRPr="00D93392" w:rsidRDefault="00D93392" w:rsidP="00D9339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and Kar address mental health, motivations, gender, culture, and possible interventions.</w:t>
      </w:r>
    </w:p>
    <w:p w:rsidR="00D93392" w:rsidRPr="00D93392" w:rsidRDefault="00D93392" w:rsidP="00D9339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Alexopoulos and Cingel support the sexual-script argument by showing how sexual media portrayals can affect adolescent attitudes and intentions.</w:t>
      </w:r>
    </w:p>
    <w:p w:rsidR="00D93392" w:rsidRPr="00D93392" w:rsidRDefault="00D93392" w:rsidP="00D9339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All three articles qualify as Capella Library sources.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official APA Ethics Code would be a useful supplementary source for the ethics section, but its absence does not prevent completion of the paper.</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Working Thesis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Although adolescent pornography exposure is controversial, viewing pornography should not automatically be classified as unhealthy sexual behavior. Its effects depend on factors such as age, motivation, frequency, content, cultural context, and media literacy. Viewing becomes particularly concerning when it is compulsive, disrupts normal functioning, or contributes to unsafe, coercive, and unrealistic sexual expectations.</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Source-Placement Map</w:t>
      </w:r>
    </w:p>
    <w:p w:rsidR="00D93392" w:rsidRPr="00D93392" w:rsidRDefault="00D93392" w:rsidP="00D9339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93392">
        <w:rPr>
          <w:rFonts w:ascii="Times New Roman" w:eastAsia="Times New Roman" w:hAnsi="Times New Roman" w:cs="Times New Roman"/>
          <w:b/>
          <w:bCs/>
          <w:kern w:val="0"/>
          <w:sz w:val="27"/>
          <w:szCs w:val="27"/>
          <w14:ligatures w14:val="none"/>
        </w:rPr>
        <w:t>Human Sexuality Today</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 for:</w:t>
      </w:r>
    </w:p>
    <w:p w:rsidR="00D93392" w:rsidRPr="00D93392" w:rsidRDefault="00D93392" w:rsidP="00D9339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Definitions of pornography and sexually explicit media.</w:t>
      </w:r>
    </w:p>
    <w:p w:rsidR="00D93392" w:rsidRPr="00D93392" w:rsidRDefault="00D93392" w:rsidP="00D9339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Pornography’s possible effects.</w:t>
      </w:r>
    </w:p>
    <w:p w:rsidR="00D93392" w:rsidRPr="00D93392" w:rsidRDefault="00D93392" w:rsidP="00D9339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Compulsive sexual behavior and functional impairment.</w:t>
      </w:r>
    </w:p>
    <w:p w:rsidR="00D93392" w:rsidRPr="00D93392" w:rsidRDefault="00D93392" w:rsidP="00D9339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distinction between healthy and unhealthy sexual behavior.</w:t>
      </w:r>
    </w:p>
    <w:p w:rsidR="00D93392" w:rsidRPr="00D93392" w:rsidRDefault="00D93392" w:rsidP="00D9339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Continuing controversies surrounding pornography.</w:t>
      </w:r>
    </w:p>
    <w:p w:rsidR="00D93392" w:rsidRPr="00D93392" w:rsidRDefault="00D93392" w:rsidP="00D9339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93392">
        <w:rPr>
          <w:rFonts w:ascii="Times New Roman" w:eastAsia="Times New Roman" w:hAnsi="Times New Roman" w:cs="Times New Roman"/>
          <w:b/>
          <w:bCs/>
          <w:kern w:val="0"/>
          <w:sz w:val="27"/>
          <w:szCs w:val="27"/>
          <w14:ligatures w14:val="none"/>
        </w:rPr>
        <w:t>Pathmendra et al. (2023)</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Use for:</w:t>
      </w:r>
    </w:p>
    <w:p w:rsidR="00D93392" w:rsidRPr="00D93392" w:rsidRDefault="00D93392" w:rsidP="00D9339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Main empirical findings.</w:t>
      </w:r>
    </w:p>
    <w:p w:rsidR="00D93392" w:rsidRPr="00D93392" w:rsidRDefault="00D93392" w:rsidP="00D9339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Associations between exposure and earlier sexual activity.</w:t>
      </w:r>
    </w:p>
    <w:p w:rsidR="00D93392" w:rsidRPr="00D93392" w:rsidRDefault="00D93392" w:rsidP="00D9339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difference between correlation and causation.</w:t>
      </w:r>
    </w:p>
    <w:p w:rsidR="00D93392" w:rsidRPr="00D93392" w:rsidRDefault="00D93392" w:rsidP="00D9339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Cross-sectional research limitations.</w:t>
      </w:r>
    </w:p>
    <w:p w:rsidR="00D93392" w:rsidRPr="00D93392" w:rsidRDefault="00D93392" w:rsidP="00D9339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Inconsistent definitions and measurements.</w:t>
      </w:r>
    </w:p>
    <w:p w:rsidR="00D93392" w:rsidRPr="00D93392" w:rsidRDefault="00D93392" w:rsidP="00D9339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Cultural and sociocultural research gaps.</w:t>
      </w:r>
    </w:p>
    <w:p w:rsidR="00D93392" w:rsidRPr="00D93392" w:rsidRDefault="00D93392" w:rsidP="00D9339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93392">
        <w:rPr>
          <w:rFonts w:ascii="Times New Roman" w:eastAsia="Times New Roman" w:hAnsi="Times New Roman" w:cs="Times New Roman"/>
          <w:b/>
          <w:bCs/>
          <w:kern w:val="0"/>
          <w:sz w:val="27"/>
          <w:szCs w:val="27"/>
          <w14:ligatures w14:val="none"/>
        </w:rPr>
        <w:t>Chatterjee and Kar (2023)</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 for:</w:t>
      </w:r>
    </w:p>
    <w:p w:rsidR="00D93392" w:rsidRPr="00D93392" w:rsidRDefault="00D93392" w:rsidP="00D9339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Adolescent motivations for viewing pornography.</w:t>
      </w:r>
    </w:p>
    <w:p w:rsidR="00D93392" w:rsidRPr="00D93392" w:rsidRDefault="00D93392" w:rsidP="00D9339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Problematic pornography use.</w:t>
      </w:r>
    </w:p>
    <w:p w:rsidR="00D93392" w:rsidRPr="00D93392" w:rsidRDefault="00D93392" w:rsidP="00D9339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Mental-health concerns.</w:t>
      </w:r>
    </w:p>
    <w:p w:rsidR="00D93392" w:rsidRPr="00D93392" w:rsidRDefault="00D93392" w:rsidP="00D9339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Gender and cultural differences.</w:t>
      </w:r>
    </w:p>
    <w:p w:rsidR="00D93392" w:rsidRPr="00D93392" w:rsidRDefault="00D93392" w:rsidP="00D9339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Parenting and family influences.</w:t>
      </w:r>
    </w:p>
    <w:p w:rsidR="00D93392" w:rsidRPr="00D93392" w:rsidRDefault="00D93392" w:rsidP="00D9339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Media literacy and professional interventions.</w:t>
      </w:r>
    </w:p>
    <w:p w:rsidR="00D93392" w:rsidRPr="00D93392" w:rsidRDefault="00D93392" w:rsidP="00D9339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93392">
        <w:rPr>
          <w:rFonts w:ascii="Times New Roman" w:eastAsia="Times New Roman" w:hAnsi="Times New Roman" w:cs="Times New Roman"/>
          <w:b/>
          <w:bCs/>
          <w:kern w:val="0"/>
          <w:sz w:val="27"/>
          <w:szCs w:val="27"/>
          <w14:ligatures w14:val="none"/>
        </w:rPr>
        <w:t>Alexopoulos and Cingel (2023)</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 for:</w:t>
      </w:r>
    </w:p>
    <w:p w:rsidR="00D93392" w:rsidRPr="00D93392" w:rsidRDefault="00D93392" w:rsidP="00D9339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Sexual-script theory.</w:t>
      </w:r>
    </w:p>
    <w:p w:rsidR="00D93392" w:rsidRPr="00D93392" w:rsidRDefault="00D93392" w:rsidP="00D9339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Media influence on adolescent attitudes.</w:t>
      </w:r>
    </w:p>
    <w:p w:rsidR="00D93392" w:rsidRPr="00D93392" w:rsidRDefault="00D93392" w:rsidP="00D9339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Verbal and nonverbal consent.</w:t>
      </w:r>
    </w:p>
    <w:p w:rsidR="00D93392" w:rsidRPr="00D93392" w:rsidRDefault="00D93392" w:rsidP="00D9339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Gender attitudes.</w:t>
      </w:r>
    </w:p>
    <w:p w:rsidR="00D93392" w:rsidRPr="00D93392" w:rsidRDefault="00D93392" w:rsidP="00D9339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concrete experimental research example.</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Page and Word Budget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Aim for approximately 1,200–1,400 body words.</w:t>
      </w:r>
    </w:p>
    <w:p w:rsidR="00D93392" w:rsidRPr="00D93392" w:rsidRDefault="00D93392" w:rsidP="00D9339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Introduction: 130–160 words.</w:t>
      </w:r>
    </w:p>
    <w:p w:rsidR="00D93392" w:rsidRPr="00D93392" w:rsidRDefault="00D93392" w:rsidP="00D9339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Definitions and healthy–unhealthy distinction: 200–230 words.</w:t>
      </w:r>
    </w:p>
    <w:p w:rsidR="00D93392" w:rsidRPr="00D93392" w:rsidRDefault="00D93392" w:rsidP="00D9339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Research findings: 250–300 words.</w:t>
      </w:r>
    </w:p>
    <w:p w:rsidR="00D93392" w:rsidRPr="00D93392" w:rsidRDefault="00D93392" w:rsidP="00D9339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Ethics and IRB: 200–240 words.</w:t>
      </w:r>
    </w:p>
    <w:p w:rsidR="00D93392" w:rsidRPr="00D93392" w:rsidRDefault="00D93392" w:rsidP="00D9339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Research and sociocultural challenges: 170–210 words.</w:t>
      </w:r>
    </w:p>
    <w:p w:rsidR="00D93392" w:rsidRPr="00D93392" w:rsidRDefault="00D93392" w:rsidP="00D9339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Social change and professional application: 180–220 words.</w:t>
      </w:r>
    </w:p>
    <w:p w:rsidR="00D93392" w:rsidRPr="00D93392" w:rsidRDefault="00D93392" w:rsidP="00D9339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Conclusion: 100–130 words.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title and reference pages normally do not count toward the required 3–5 pages.</w:t>
      </w:r>
    </w:p>
    <w:p w:rsidR="00D93392" w:rsidRPr="00D93392" w:rsidRDefault="00D93392" w:rsidP="00D9339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93392">
        <w:rPr>
          <w:rFonts w:ascii="Times New Roman" w:eastAsia="Times New Roman" w:hAnsi="Times New Roman" w:cs="Times New Roman"/>
          <w:b/>
          <w:bCs/>
          <w:kern w:val="36"/>
          <w:sz w:val="48"/>
          <w:szCs w:val="48"/>
          <w14:ligatures w14:val="none"/>
        </w:rPr>
        <w:t>Paragraph-by-Paragraph Blueprint</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lastRenderedPageBreak/>
        <w:t>Paragraph 1: Introduction and Thesis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Job:</w:t>
      </w:r>
      <w:r w:rsidRPr="00D93392">
        <w:rPr>
          <w:rFonts w:ascii="Times New Roman" w:eastAsia="Times New Roman" w:hAnsi="Times New Roman" w:cs="Times New Roman"/>
          <w:kern w:val="0"/>
          <w14:ligatures w14:val="none"/>
        </w:rPr>
        <w:t xml:space="preserve"> Introduce adolescent pornography exposure as a controversial sexual behavior and establish the paper’s main argument.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Cover:</w:t>
      </w:r>
    </w:p>
    <w:p w:rsidR="00D93392" w:rsidRPr="00D93392" w:rsidRDefault="00D93392" w:rsidP="00D9339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Adolescents can access sexually explicit material through internet-connected devices.</w:t>
      </w:r>
    </w:p>
    <w:p w:rsidR="00D93392" w:rsidRPr="00D93392" w:rsidRDefault="00D93392" w:rsidP="00D9339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Some people understand pornography viewing as sexual curiosity or exploration.</w:t>
      </w:r>
    </w:p>
    <w:p w:rsidR="00D93392" w:rsidRPr="00D93392" w:rsidRDefault="00D93392" w:rsidP="00D9339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Others consider it a developmental, behavioral, or mental-health risk.</w:t>
      </w:r>
    </w:p>
    <w:p w:rsidR="00D93392" w:rsidRPr="00D93392" w:rsidRDefault="00D93392" w:rsidP="00D9339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effects are not identical for every viewer.</w:t>
      </w:r>
    </w:p>
    <w:p w:rsidR="00D93392" w:rsidRPr="00D93392" w:rsidRDefault="00D93392" w:rsidP="00D9339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End with the working thesis.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Use/source(s):</w:t>
      </w:r>
    </w:p>
    <w:p w:rsidR="00D93392" w:rsidRPr="00D93392" w:rsidRDefault="00D93392" w:rsidP="00D9339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King and Regan.</w:t>
      </w:r>
    </w:p>
    <w:p w:rsidR="00D93392" w:rsidRPr="00D93392" w:rsidRDefault="00D93392" w:rsidP="00D9339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Pathmendra et al.</w:t>
      </w:r>
    </w:p>
    <w:p w:rsidR="00D93392" w:rsidRPr="00D93392" w:rsidRDefault="00D93392" w:rsidP="00D9339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and Kar.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Draft-ready idea:</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“Internet access has made sexually explicit material increasingly available to adolescents, raising concerns about how pornography may shape sexual attitudes, expectations, and behavior. However, exposure alone does not establish that an adolescent’s behavior is unhealthy…”</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Must include:</w:t>
      </w:r>
    </w:p>
    <w:p w:rsidR="00D93392" w:rsidRPr="00D93392" w:rsidRDefault="00D93392" w:rsidP="00D9339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clear thesis.</w:t>
      </w:r>
    </w:p>
    <w:p w:rsidR="00D93392" w:rsidRPr="00D93392" w:rsidRDefault="00D93392" w:rsidP="00D9339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healthy–unhealthy distinction.</w:t>
      </w:r>
    </w:p>
    <w:p w:rsidR="00D93392" w:rsidRPr="00D93392" w:rsidRDefault="00D93392" w:rsidP="00D9339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preview of research, ethics, and social change.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Example to add: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An adolescent might encounter pornography accidentally, seek it because of curiosity, or use it repeatedly to cope with stress. These circumstances should not be treated as equivalent.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Citation reminder: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Add citations after claims about adolescent exposure and motivations: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&amp; Kar, 2023; Pathmendra et al., 2023)</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Rubric target: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Strong thesis, effective organization, correct terminology, and a clear relationship between the main topic and subtopics.</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lastRenderedPageBreak/>
        <w:t>Paragraph 2: Definition and Healthy–Unhealthy Distinction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Job:</w:t>
      </w:r>
      <w:r w:rsidRPr="00D93392">
        <w:rPr>
          <w:rFonts w:ascii="Times New Roman" w:eastAsia="Times New Roman" w:hAnsi="Times New Roman" w:cs="Times New Roman"/>
          <w:kern w:val="0"/>
          <w14:ligatures w14:val="none"/>
        </w:rPr>
        <w:t xml:space="preserve"> Define pornography and explain when viewing may cross the line from ordinary sexual behavior into unhealthy behavior.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Cover:</w:t>
      </w:r>
    </w:p>
    <w:p w:rsidR="00D93392" w:rsidRPr="00D93392" w:rsidRDefault="00D93392" w:rsidP="00D9339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Define pornography as sexually explicit material primarily intended to produce sexual arousal.</w:t>
      </w:r>
    </w:p>
    <w:p w:rsidR="00D93392" w:rsidRPr="00D93392" w:rsidRDefault="00D93392" w:rsidP="00D9339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Distinguish exposure, intentional viewing, regular use, and problematic pornography use.</w:t>
      </w:r>
    </w:p>
    <w:p w:rsidR="00D93392" w:rsidRPr="00D93392" w:rsidRDefault="00D93392" w:rsidP="00D9339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Curiosity and sexual arousal can occur during normal adolescent sexual development.</w:t>
      </w:r>
    </w:p>
    <w:p w:rsidR="00D93392" w:rsidRPr="00D93392" w:rsidRDefault="00D93392" w:rsidP="00D9339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Viewing becomes concerning when it is compulsive, difficult to control, distressing, or disruptive.</w:t>
      </w:r>
    </w:p>
    <w:p w:rsidR="00D93392" w:rsidRPr="00D93392" w:rsidRDefault="00D93392" w:rsidP="00D9339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Harm may also arise when viewers adopt unsafe, coercive, or unrealistic sexual expectations.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Use/source(s):</w:t>
      </w:r>
    </w:p>
    <w:p w:rsidR="00D93392" w:rsidRPr="00D93392" w:rsidRDefault="00D93392" w:rsidP="00D9339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King and Regan.</w:t>
      </w:r>
    </w:p>
    <w:p w:rsidR="00D93392" w:rsidRPr="00D93392" w:rsidRDefault="00D93392" w:rsidP="00D9339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and Kar.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Draft-ready idea:</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distinction between healthy and unhealthy behavior should be based less on the mere occurrence of pornography viewing and more on its motivation, context, consequences, and effect on daily functioning…”</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Must include:</w:t>
      </w:r>
    </w:p>
    <w:p w:rsidR="00D93392" w:rsidRPr="00D93392" w:rsidRDefault="00D93392" w:rsidP="00D9339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Do not describe all viewing as addiction.</w:t>
      </w:r>
    </w:p>
    <w:p w:rsidR="00D93392" w:rsidRPr="00D93392" w:rsidRDefault="00D93392" w:rsidP="00D9339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Identify loss of control, distress, impaired functioning, damaged relationships, and continued use despite negative consequences.</w:t>
      </w:r>
    </w:p>
    <w:p w:rsidR="00D93392" w:rsidRPr="00D93392" w:rsidRDefault="00D93392" w:rsidP="00D9339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Explain that moral disapproval alone does not prove psychological dysfunction.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Example to add: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Occasional curiosity-driven viewing that does not produce distress or impairment differs from spending several hours viewing pornography while neglecting school, relationships, or responsibilities.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Citation reminder: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 the textbook for functional impairment and Chatterjee and Kar for motivations and problematic use.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Rubric target: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Apply terminology, concepts, and theories, including an explanation of when the behavior is healthy or unhealthy.</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Paragraph 3: Principal Research Findings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Job:</w:t>
      </w:r>
      <w:r w:rsidRPr="00D93392">
        <w:rPr>
          <w:rFonts w:ascii="Times New Roman" w:eastAsia="Times New Roman" w:hAnsi="Times New Roman" w:cs="Times New Roman"/>
          <w:kern w:val="0"/>
          <w14:ligatures w14:val="none"/>
        </w:rPr>
        <w:t xml:space="preserve"> Present the strongest empirical findings without making unsupported causal claims.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Cover:</w:t>
      </w:r>
    </w:p>
    <w:p w:rsidR="00D93392" w:rsidRPr="00D93392" w:rsidRDefault="00D93392" w:rsidP="00D9339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Pathmendra et al. conducted a systematic review of 19 studies.</w:t>
      </w:r>
    </w:p>
    <w:p w:rsidR="00D93392" w:rsidRPr="00D93392" w:rsidRDefault="00D93392" w:rsidP="00D9339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studies involved adolescents between 10 and 19 years old.</w:t>
      </w:r>
    </w:p>
    <w:p w:rsidR="00D93392" w:rsidRPr="00D93392" w:rsidRDefault="00D93392" w:rsidP="00D9339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Five of eight studies examining earlier sexual initiation reported a statistically significant association with pornography exposure.</w:t>
      </w:r>
    </w:p>
    <w:p w:rsidR="00D93392" w:rsidRPr="00D93392" w:rsidRDefault="00D93392" w:rsidP="00D9339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Most studies were cross-sectional or had substantial limitations.</w:t>
      </w:r>
    </w:p>
    <w:p w:rsidR="00D93392" w:rsidRPr="00D93392" w:rsidRDefault="00D93392" w:rsidP="00D9339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review could not establish that pornography caused earlier sexual activity.</w:t>
      </w:r>
    </w:p>
    <w:p w:rsidR="00D93392" w:rsidRPr="00D93392" w:rsidRDefault="00D93392" w:rsidP="00D9339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Evidence concerning condomless sex, multiple partners, sexual aggression, pregnancy, and sexually transmitted infections was conflicting or insufficient.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Use/source(s):</w:t>
      </w:r>
    </w:p>
    <w:p w:rsidR="00D93392" w:rsidRPr="00D93392" w:rsidRDefault="00D93392" w:rsidP="00D9339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Pathmendra et al.</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Draft-ready idea:</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most comprehensive source in the evidence set suggests a possible relationship between pornography exposure and earlier sexual initiation, but it does not establish a simple cause-and-effect relationship…”</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Must include:</w:t>
      </w:r>
    </w:p>
    <w:p w:rsidR="00D93392" w:rsidRPr="00D93392" w:rsidRDefault="00D93392" w:rsidP="00D9339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Identify the source as a systematic review.</w:t>
      </w:r>
    </w:p>
    <w:p w:rsidR="00D93392" w:rsidRPr="00D93392" w:rsidRDefault="00D93392" w:rsidP="00D9339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Include the number of studies.</w:t>
      </w:r>
    </w:p>
    <w:p w:rsidR="00D93392" w:rsidRPr="00D93392" w:rsidRDefault="00D93392" w:rsidP="00D9339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Distinguish association from causation.</w:t>
      </w:r>
    </w:p>
    <w:p w:rsidR="00D93392" w:rsidRPr="00D93392" w:rsidRDefault="00D93392" w:rsidP="00D9339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Explain the possibility of reverse causality.</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Example to add: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Pornography may influence adolescent behavior, but adolescents with greater preexisting sexual interest may also be more likely both to seek pornography and to become sexually active.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Citation reminder: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 (Pathmendra et al., 2023) throughout this discussion. Paraphrase instead of copying the article’s abstract.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Rubric target: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Describe findings from peer-reviewed research with supporting evidence and examples.</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Paragraph 4: Mental Health, Media, and Sexual Scripts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Job:</w:t>
      </w:r>
      <w:r w:rsidRPr="00D93392">
        <w:rPr>
          <w:rFonts w:ascii="Times New Roman" w:eastAsia="Times New Roman" w:hAnsi="Times New Roman" w:cs="Times New Roman"/>
          <w:kern w:val="0"/>
          <w14:ligatures w14:val="none"/>
        </w:rPr>
        <w:t xml:space="preserve"> Explain possible ways pornography and other sexual media may affect viewers.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Cover:</w:t>
      </w:r>
    </w:p>
    <w:p w:rsidR="00D93392" w:rsidRPr="00D93392" w:rsidRDefault="00D93392" w:rsidP="00D9339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and Kar identify motivations such as curiosity, pleasure, fantasy, boredom avoidance, stress reduction, and emotional distraction.</w:t>
      </w:r>
    </w:p>
    <w:p w:rsidR="00D93392" w:rsidRPr="00D93392" w:rsidRDefault="00D93392" w:rsidP="00D9339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Problematic use may be associated with emotional dysregulation and underlying vulnerabilities.</w:t>
      </w:r>
    </w:p>
    <w:p w:rsidR="00D93392" w:rsidRPr="00D93392" w:rsidRDefault="00D93392" w:rsidP="00D9339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Introduce sexual-script theory.</w:t>
      </w:r>
    </w:p>
    <w:p w:rsidR="00D93392" w:rsidRPr="00D93392" w:rsidRDefault="00D93392" w:rsidP="00D9339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Explain that media can provide models for how viewers believe sexual encounters should occur.</w:t>
      </w:r>
    </w:p>
    <w:p w:rsidR="00D93392" w:rsidRPr="00D93392" w:rsidRDefault="00D93392" w:rsidP="00D9339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Alexopoulos and Cingel found that exposure to verbal-consent portrayals indirectly increased adolescents’ intentions to seek verbal consent through more positive attitudes toward women.</w:t>
      </w:r>
    </w:p>
    <w:p w:rsidR="00D93392" w:rsidRPr="00D93392" w:rsidRDefault="00D93392" w:rsidP="00D9339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Clarify that their study examined television rather than pornography.</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Use/source(s):</w:t>
      </w:r>
    </w:p>
    <w:p w:rsidR="00D93392" w:rsidRPr="00D93392" w:rsidRDefault="00D93392" w:rsidP="00D93392">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and Kar.</w:t>
      </w:r>
    </w:p>
    <w:p w:rsidR="00D93392" w:rsidRPr="00D93392" w:rsidRDefault="00D93392" w:rsidP="00D93392">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Alexopoulos and Cingel.</w:t>
      </w:r>
    </w:p>
    <w:p w:rsidR="00D93392" w:rsidRPr="00D93392" w:rsidRDefault="00D93392" w:rsidP="00D93392">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King and Regan.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Draft-ready idea:</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“One explanation for media effects is sexual-script theory, which proposes that people learn expectations and behavioral patterns from repeatedly observed social models…”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Must include:</w:t>
      </w:r>
    </w:p>
    <w:p w:rsidR="00D93392" w:rsidRPr="00D93392" w:rsidRDefault="00D93392" w:rsidP="00D9339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Alexopoulos and Cingel studied 402 adolescents between 12 and 18 years old.</w:t>
      </w:r>
    </w:p>
    <w:p w:rsidR="00D93392" w:rsidRPr="00D93392" w:rsidRDefault="00D93392" w:rsidP="00D9339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Explain that their findings demonstrate a possible mechanism of media influence.</w:t>
      </w:r>
    </w:p>
    <w:p w:rsidR="00D93392" w:rsidRPr="00D93392" w:rsidRDefault="00D93392" w:rsidP="00D9339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Do not present the television study as direct evidence about pornography.</w:t>
      </w:r>
    </w:p>
    <w:p w:rsidR="00D93392" w:rsidRPr="00D93392" w:rsidRDefault="00D93392" w:rsidP="00D9339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Connect sexual scripts to expectations about bodies, consent, gender roles, and sexual performance.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Example to add: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viewer repeatedly exposed to ambiguous or nonverbal consent may begin to perceive explicit communication as unnecessary. Positive portrayals of verbal consent may instead normalize asking for permission.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Citation reminder: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Use (Alexopoulos &amp; Cingel, 2023) for the experiment and (Chatterjee &amp; Kar, 2023) for motivations and mental-health concerns.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Rubric target: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Apply psychological theory and describe peer-reviewed research findings with examples.</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Paragraph 5: APA Ethics and IRB Protections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Job:</w:t>
      </w:r>
      <w:r w:rsidRPr="00D93392">
        <w:rPr>
          <w:rFonts w:ascii="Times New Roman" w:eastAsia="Times New Roman" w:hAnsi="Times New Roman" w:cs="Times New Roman"/>
          <w:kern w:val="0"/>
          <w14:ligatures w14:val="none"/>
        </w:rPr>
        <w:t xml:space="preserve"> Explain the ethical protections required when conducting research involving adolescents and sexual material.</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Cover:</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Adolescents are a vulnerable research population.</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Researchers must minimize harm.</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Researchers should not unnecessarily expose minors to explicit material.</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Parental permission may be required.</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Adolescents must provide meaningful assent.</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Participation must be voluntary.</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Participants should have the right to withdraw.</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Researchers must protect confidential information about sexual behavior.</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Support or referral information should be available if participation produces distress.</w:t>
      </w:r>
    </w:p>
    <w:p w:rsidR="00D93392" w:rsidRPr="00D93392" w:rsidRDefault="00D93392" w:rsidP="00D93392">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Define the Institutional Review Board.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Use/source(s):</w:t>
      </w:r>
    </w:p>
    <w:p w:rsidR="00D93392" w:rsidRPr="00D93392" w:rsidRDefault="00D93392" w:rsidP="00D93392">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APA ethical principles from course materials.</w:t>
      </w:r>
    </w:p>
    <w:p w:rsidR="00D93392" w:rsidRPr="00D93392" w:rsidRDefault="00D93392" w:rsidP="00D93392">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Ethical implications arising from Pathmendra et al. and Alexopoulos and Cingel.</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Draft-ready idea:</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“Research involving adolescents and sexual material presents heightened ethical concerns because participants are minors and the questions may involve private, stigmatized, or emotionally distressing experiences…”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Must include:</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Respect for autonomy.</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Protection from physical and psychological harm.</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Privacy and confidentiality.</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Informed parental permission when appropriate.</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Adolescent assent.</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Freedom from pressure or coercion.</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IRB review before recruitment or data collection.</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One example of an ethical violation.</w:t>
      </w:r>
    </w:p>
    <w:p w:rsidR="00D93392" w:rsidRPr="00D93392" w:rsidRDefault="00D93392" w:rsidP="00D93392">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One example of an ethical best practice.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Example to add: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An obvious ethical violation would be deliberately showing minors explicit pornography without sufficient consent, scientific necessity, safeguards, or debriefing. A better practice would be using anonymous questionnaires about previous exposure and allowing participants to skip uncomfortable questions.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Citation reminder: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Verify the exact APA Ethics Code provisions before submitting if the instructor expects specific standard numbers. Do not invent a section number.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Rubric target: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Apply ethical standards with examples and define the IRB’s role.</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Paragraph 6: Research and Sociocultural Challenges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Job:</w:t>
      </w:r>
      <w:r w:rsidRPr="00D93392">
        <w:rPr>
          <w:rFonts w:ascii="Times New Roman" w:eastAsia="Times New Roman" w:hAnsi="Times New Roman" w:cs="Times New Roman"/>
          <w:kern w:val="0"/>
          <w14:ligatures w14:val="none"/>
        </w:rPr>
        <w:t xml:space="preserve"> Explain why findings differ and why researchers cannot easily reach firm conclusions.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Cover:</w:t>
      </w:r>
    </w:p>
    <w:p w:rsidR="00D93392" w:rsidRPr="00D93392" w:rsidRDefault="00D93392" w:rsidP="00D9339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Studies define and measure pornography exposure differently.</w:t>
      </w:r>
    </w:p>
    <w:p w:rsidR="00D93392" w:rsidRPr="00D93392" w:rsidRDefault="00D93392" w:rsidP="00D9339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Many studies depend on anonymous self-reports.</w:t>
      </w:r>
    </w:p>
    <w:p w:rsidR="00D93392" w:rsidRPr="00D93392" w:rsidRDefault="00D93392" w:rsidP="00D9339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Cross-sectional studies cannot establish which event occurred first.</w:t>
      </w:r>
    </w:p>
    <w:p w:rsidR="00D93392" w:rsidRPr="00D93392" w:rsidRDefault="00D93392" w:rsidP="00D9339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Stigma and social desirability may influence participants’ answers.</w:t>
      </w:r>
    </w:p>
    <w:p w:rsidR="00D93392" w:rsidRPr="00D93392" w:rsidRDefault="00D93392" w:rsidP="00D9339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Girls, LGBTQ+ adolescents, and culturally diverse populations may be underrepresented.</w:t>
      </w:r>
    </w:p>
    <w:p w:rsidR="00D93392" w:rsidRPr="00D93392" w:rsidRDefault="00D93392" w:rsidP="00D93392">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Religion, gender expectations, parental attitudes, and access to sex education affect exposure and reporting.</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Use/source(s):</w:t>
      </w:r>
    </w:p>
    <w:p w:rsidR="00D93392" w:rsidRPr="00D93392" w:rsidRDefault="00D93392" w:rsidP="00D93392">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Pathmendra et al.</w:t>
      </w:r>
    </w:p>
    <w:p w:rsidR="00D93392" w:rsidRPr="00D93392" w:rsidRDefault="00D93392" w:rsidP="00D93392">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and Kar.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Draft-ready idea:</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“Research on adolescent pornography use is difficult to interpret because both exposure and sexual behavior are sensitive subjects that are measured differently across studies…”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Must include:</w:t>
      </w:r>
    </w:p>
    <w:p w:rsidR="00D93392" w:rsidRPr="00D93392" w:rsidRDefault="00D93392" w:rsidP="00D9339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At least one specific sociocultural example.</w:t>
      </w:r>
    </w:p>
    <w:p w:rsidR="00D93392" w:rsidRPr="00D93392" w:rsidRDefault="00D93392" w:rsidP="00D9339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difference between a methodological limitation and a cultural influence.</w:t>
      </w:r>
    </w:p>
    <w:p w:rsidR="00D93392" w:rsidRPr="00D93392" w:rsidRDefault="00D93392" w:rsidP="00D9339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An explanation of how these factors affect the reliability or generalizability of research.</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Example to add: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 a conservative community, adolescents may be reluctant to disclose pornography use because of religious or family expectations. In communities with limited sex education, adolescents may be more likely to use pornography as a substitute source of sexual information.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Citation reminder: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Synthesize both sources: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&amp; Kar, 2023; Pathmendra et al., 2023)</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Rubric target: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Explain challenges to sexuality research with examples of sociocultural factors from peer-reviewed sources.</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Paragraph 7: Social Change and Professional Relevance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Job:</w:t>
      </w:r>
      <w:r w:rsidRPr="00D93392">
        <w:rPr>
          <w:rFonts w:ascii="Times New Roman" w:eastAsia="Times New Roman" w:hAnsi="Times New Roman" w:cs="Times New Roman"/>
          <w:kern w:val="0"/>
          <w14:ligatures w14:val="none"/>
        </w:rPr>
        <w:t xml:space="preserve"> Explain how social change has affected pornography exposure and how this may influence the writer’s current or future employment.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Cover:</w:t>
      </w:r>
    </w:p>
    <w:p w:rsidR="00D93392" w:rsidRPr="00D93392" w:rsidRDefault="00D93392" w:rsidP="00D9339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Smartphones and private internet access have made pornography more accessible.</w:t>
      </w:r>
    </w:p>
    <w:p w:rsidR="00D93392" w:rsidRPr="00D93392" w:rsidRDefault="00D93392" w:rsidP="00D9339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Adolescents can encounter pornography intentionally or accidentally.</w:t>
      </w:r>
    </w:p>
    <w:p w:rsidR="00D93392" w:rsidRPr="00D93392" w:rsidRDefault="00D93392" w:rsidP="00D9339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Social media and algorithmic recommendations complicate parental control.</w:t>
      </w:r>
    </w:p>
    <w:p w:rsidR="00D93392" w:rsidRPr="00D93392" w:rsidRDefault="00D93392" w:rsidP="00D9339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Public discussion of consent, gender equality, and sexual violence has expanded.</w:t>
      </w:r>
    </w:p>
    <w:p w:rsidR="00D93392" w:rsidRPr="00D93392" w:rsidRDefault="00D93392" w:rsidP="00D9339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Media-literacy approaches increasingly emphasize critical interpretation instead of punishment.</w:t>
      </w:r>
    </w:p>
    <w:p w:rsidR="00D93392" w:rsidRPr="00D93392" w:rsidRDefault="00D93392" w:rsidP="00D9339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Professionals should distinguish curiosity from compulsive or harmful behavior.</w:t>
      </w:r>
    </w:p>
    <w:p w:rsidR="00D93392" w:rsidRPr="00D93392" w:rsidRDefault="00D93392" w:rsidP="00D9339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Responses should avoid unnecessary moral condemnation.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Use/source(s):</w:t>
      </w:r>
    </w:p>
    <w:p w:rsidR="00D93392" w:rsidRPr="00D93392" w:rsidRDefault="00D93392" w:rsidP="00D9339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Chatterjee and Kar.</w:t>
      </w:r>
    </w:p>
    <w:p w:rsidR="00D93392" w:rsidRPr="00D93392" w:rsidRDefault="00D93392" w:rsidP="00D9339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Pathmendra et al.</w:t>
      </w:r>
    </w:p>
    <w:p w:rsidR="00D93392" w:rsidRPr="00D93392" w:rsidRDefault="00D93392" w:rsidP="00D9339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Alexopoulos and Cingel.</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Draft-ready idea:</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“During the past decade, mobile technology has transformed pornography from material that required deliberate access into content that adolescents may encounter privately, rapidly, or accidentally…”</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lastRenderedPageBreak/>
        <w:t>Must include:</w:t>
      </w:r>
    </w:p>
    <w:p w:rsidR="00D93392" w:rsidRPr="00D93392" w:rsidRDefault="00D93392" w:rsidP="00D9339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clear explanation of change over the past ten years.</w:t>
      </w:r>
    </w:p>
    <w:p w:rsidR="00D93392" w:rsidRPr="00D93392" w:rsidRDefault="00D93392" w:rsidP="00D9339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At least one work-related example.</w:t>
      </w:r>
    </w:p>
    <w:p w:rsidR="00D93392" w:rsidRPr="00D93392" w:rsidRDefault="00D93392" w:rsidP="00D9339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connection between professional responsibilities and the research evidence.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Example to personalize: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For healthcare or psychology:</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professional may need to assess whether a client is experiencing distress, loss of control, or impaired functioning without shaming the client.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For education: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An educator may need to teach consent and media literacy using developmentally appropriate language.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For social services: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practitioner may need to protect confidentiality while assessing whether pornography exposure involves coercion, exploitation, or abuse.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For another profession: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discussion can focus on respectful communication, personal boundaries, privacy, and evidence-based responses.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Personal sentence frame: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 my current or future work as a __________, this social change will require me to __________ while avoiding __________.”</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Citation reminder: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Cite sources for technological, behavioral, and intervention claims. A personal career application does not require a citation unless it contains a factual claim.</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Rubric target: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Explain how rapid social change influences behavior and provide a work-related example.</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Paragraph 8: Conclusion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Job:</w:t>
      </w:r>
      <w:r w:rsidRPr="00D93392">
        <w:rPr>
          <w:rFonts w:ascii="Times New Roman" w:eastAsia="Times New Roman" w:hAnsi="Times New Roman" w:cs="Times New Roman"/>
          <w:kern w:val="0"/>
          <w14:ligatures w14:val="none"/>
        </w:rPr>
        <w:t xml:space="preserve"> Restate the central argument and provide a balanced final judgment.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lastRenderedPageBreak/>
        <w:t>Cover:</w:t>
      </w:r>
    </w:p>
    <w:p w:rsidR="00D93392" w:rsidRPr="00D93392" w:rsidRDefault="00D93392" w:rsidP="00D9339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Pornography exposure is not automatically evidence of unhealthy sexuality.</w:t>
      </w:r>
    </w:p>
    <w:p w:rsidR="00D93392" w:rsidRPr="00D93392" w:rsidRDefault="00D93392" w:rsidP="00D9339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Risk depends on developmental stage, content, motivation, frequency, and consequences.</w:t>
      </w:r>
    </w:p>
    <w:p w:rsidR="00D93392" w:rsidRPr="00D93392" w:rsidRDefault="00D93392" w:rsidP="00D9339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Existing research identifies legitimate concerns but does not establish universal causal conclusions.</w:t>
      </w:r>
    </w:p>
    <w:p w:rsidR="00D93392" w:rsidRPr="00D93392" w:rsidRDefault="00D93392" w:rsidP="00D9339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Ethical research, consent education, media literacy, and nonjudgmental professional responses are appropriate approaches.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Use/source(s):</w:t>
      </w:r>
    </w:p>
    <w:p w:rsidR="00D93392" w:rsidRPr="00D93392" w:rsidRDefault="00D93392" w:rsidP="00D9339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Synthesize all the sources.</w:t>
      </w:r>
    </w:p>
    <w:p w:rsidR="00D93392" w:rsidRPr="00D93392" w:rsidRDefault="00D93392" w:rsidP="00D93392">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Do not introduce new evidence.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Draft-ready idea:</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“Ultimately, the controversy surrounding adolescent pornography exposure cannot be resolved by classifying every instance of viewing as either harmless or pathological…”</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Must include:</w:t>
      </w:r>
    </w:p>
    <w:p w:rsidR="00D93392" w:rsidRPr="00D93392" w:rsidRDefault="00D93392" w:rsidP="00D9339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Return to the healthy–unhealthy distinction.</w:t>
      </w:r>
    </w:p>
    <w:p w:rsidR="00D93392" w:rsidRPr="00D93392" w:rsidRDefault="00D93392" w:rsidP="00D9339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Restate the thesis using different wording.</w:t>
      </w:r>
    </w:p>
    <w:p w:rsidR="00D93392" w:rsidRPr="00D93392" w:rsidRDefault="00D93392" w:rsidP="00D93392">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End with a clear recommendation or implication.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Example to add: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appropriate response should depend on observable distress, impairment, risk, and context rather than moral judgment alone.</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Citation reminder:</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 synthesis citation may be used, but the conclusion should primarily summarize the argument already established.</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b/>
          <w:bCs/>
          <w:kern w:val="0"/>
          <w14:ligatures w14:val="none"/>
        </w:rPr>
        <w:t>Rubric target: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Effective conclusion, logical organization, and a clear connection to the thesis.</w:t>
      </w:r>
    </w:p>
    <w:p w:rsidR="00D93392" w:rsidRPr="00D93392" w:rsidRDefault="00D93392" w:rsidP="00D9339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93392">
        <w:rPr>
          <w:rFonts w:ascii="Times New Roman" w:eastAsia="Times New Roman" w:hAnsi="Times New Roman" w:cs="Times New Roman"/>
          <w:b/>
          <w:bCs/>
          <w:kern w:val="36"/>
          <w:sz w:val="48"/>
          <w:szCs w:val="48"/>
          <w14:ligatures w14:val="none"/>
        </w:rPr>
        <w:t>Evidence Bank</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Pathmendra et al. (2023)</w:t>
      </w:r>
    </w:p>
    <w:p w:rsidR="00D93392" w:rsidRPr="00D93392" w:rsidRDefault="00D93392" w:rsidP="00D9339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Systematic review of 19 eligible studies.</w:t>
      </w:r>
    </w:p>
    <w:p w:rsidR="00D93392" w:rsidRPr="00D93392" w:rsidRDefault="00D93392" w:rsidP="00D9339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Participants were adolescents aged 10–19.</w:t>
      </w:r>
    </w:p>
    <w:p w:rsidR="00D93392" w:rsidRPr="00D93392" w:rsidRDefault="00D93392" w:rsidP="00D9339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Five of eight studies found an association between pornography exposure and earlier sexual initiation.</w:t>
      </w:r>
    </w:p>
    <w:p w:rsidR="00D93392" w:rsidRPr="00D93392" w:rsidRDefault="00D93392" w:rsidP="00D9339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Causal inference was not possible.</w:t>
      </w:r>
    </w:p>
    <w:p w:rsidR="00D93392" w:rsidRPr="00D93392" w:rsidRDefault="00D93392" w:rsidP="00D9339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Evidence for other sexual outcomes was conflicting or insufficient.</w:t>
      </w:r>
    </w:p>
    <w:p w:rsidR="00D93392" w:rsidRPr="00D93392" w:rsidRDefault="00D93392" w:rsidP="00D9339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Pornography exposure and behavioral outcomes were measured inconsistently.</w:t>
      </w:r>
    </w:p>
    <w:p w:rsidR="00D93392" w:rsidRPr="00D93392" w:rsidRDefault="00D93392" w:rsidP="00D9339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Cultural influences were understudied.</w:t>
      </w:r>
    </w:p>
    <w:p w:rsidR="00D93392" w:rsidRPr="00D93392" w:rsidRDefault="00D93392" w:rsidP="00D93392">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This is the strongest source for cautious conclusions and research limitations.</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Chatterjee and Kar (2023)</w:t>
      </w:r>
    </w:p>
    <w:p w:rsidR="00D93392" w:rsidRPr="00D93392" w:rsidRDefault="00D93392" w:rsidP="00D9339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Viewing motivations include curiosity, pleasure, fantasy, boredom avoidance, emotional distraction, and stress reduction.</w:t>
      </w:r>
    </w:p>
    <w:p w:rsidR="00D93392" w:rsidRPr="00D93392" w:rsidRDefault="00D93392" w:rsidP="00D9339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Problematic use should be distinguished from ordinary curiosity.</w:t>
      </w:r>
    </w:p>
    <w:p w:rsidR="00D93392" w:rsidRPr="00D93392" w:rsidRDefault="00D93392" w:rsidP="00D9339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Gender, religion, parenting, family relationships, and cultural expectations influence pornography use.</w:t>
      </w:r>
    </w:p>
    <w:p w:rsidR="00D93392" w:rsidRPr="00D93392" w:rsidRDefault="00D93392" w:rsidP="00D9339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Much of the research is cross-sectional and based on self-reporting.</w:t>
      </w:r>
    </w:p>
    <w:p w:rsidR="00D93392" w:rsidRPr="00D93392" w:rsidRDefault="00D93392" w:rsidP="00D9339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authors recommend family communication, media literacy, sex education, and mental-health support.</w:t>
      </w:r>
    </w:p>
    <w:p w:rsidR="00D93392" w:rsidRPr="00D93392" w:rsidRDefault="00D93392" w:rsidP="00D93392">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Claims about pornography “addiction” should be presented cautiously because this is a narrative review rather than a diagnostic study.</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Alexopoulos and Cingel (2023)</w:t>
      </w:r>
    </w:p>
    <w:p w:rsidR="00D93392" w:rsidRPr="00D93392" w:rsidRDefault="00D93392" w:rsidP="00D9339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Examined sexual-consent portrayals in adolescent-directed television.</w:t>
      </w:r>
    </w:p>
    <w:p w:rsidR="00D93392" w:rsidRPr="00D93392" w:rsidRDefault="00D93392" w:rsidP="00D9339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Nonverbal consent cues appeared more often than verbal cues.</w:t>
      </w:r>
    </w:p>
    <w:p w:rsidR="00D93392" w:rsidRPr="00D93392" w:rsidRDefault="00D93392" w:rsidP="00D9339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 experimental sample included 402 adolescents aged 12–18.</w:t>
      </w:r>
    </w:p>
    <w:p w:rsidR="00D93392" w:rsidRPr="00D93392" w:rsidRDefault="00D93392" w:rsidP="00D9339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Verbal-consent portrayals indirectly increased intentions to seek verbal consent through more positive attitudes toward women.</w:t>
      </w:r>
    </w:p>
    <w:p w:rsidR="00D93392" w:rsidRPr="00D93392" w:rsidRDefault="00D93392" w:rsidP="00D9339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Supports sexual-script theory and the broader idea that media can influence sexual attitudes.</w:t>
      </w:r>
    </w:p>
    <w:p w:rsidR="00D93392" w:rsidRPr="00D93392" w:rsidRDefault="00D93392" w:rsidP="00D93392">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Does not directly measure pornography exposure.</w:t>
      </w:r>
    </w:p>
    <w:p w:rsidR="00D93392" w:rsidRPr="00D93392" w:rsidRDefault="00D93392" w:rsidP="00D9339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93392">
        <w:rPr>
          <w:rFonts w:ascii="Times New Roman" w:eastAsia="Times New Roman" w:hAnsi="Times New Roman" w:cs="Times New Roman"/>
          <w:b/>
          <w:bCs/>
          <w:kern w:val="0"/>
          <w:sz w:val="36"/>
          <w:szCs w:val="36"/>
          <w14:ligatures w14:val="none"/>
        </w:rPr>
        <w:t>King and Regan (2019)</w:t>
      </w:r>
    </w:p>
    <w:p w:rsidR="00D93392" w:rsidRPr="00D93392" w:rsidRDefault="00D93392" w:rsidP="00D9339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 Chapter 16 for definitions, consumption, wellbeing, sexual aggression, and continuing controversies.</w:t>
      </w:r>
    </w:p>
    <w:p w:rsidR="00D93392" w:rsidRPr="00D93392" w:rsidRDefault="00D93392" w:rsidP="00D9339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 the discussion of compulsive sexual behavior to establish the importance of impairment and loss of control.</w:t>
      </w:r>
    </w:p>
    <w:p w:rsidR="00D93392" w:rsidRPr="00D93392" w:rsidRDefault="00D93392" w:rsidP="00D93392">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 the textbook to present competing interpretations rather than depicting pornography as uniformly harmful.</w:t>
      </w:r>
    </w:p>
    <w:p w:rsidR="00D93392" w:rsidRPr="00D93392" w:rsidRDefault="00D93392" w:rsidP="00D9339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93392">
        <w:rPr>
          <w:rFonts w:ascii="Times New Roman" w:eastAsia="Times New Roman" w:hAnsi="Times New Roman" w:cs="Times New Roman"/>
          <w:b/>
          <w:bCs/>
          <w:kern w:val="36"/>
          <w:sz w:val="48"/>
          <w:szCs w:val="48"/>
          <w14:ligatures w14:val="none"/>
        </w:rPr>
        <w:t>Draft-Ready Transitions</w:t>
      </w:r>
    </w:p>
    <w:p w:rsidR="00D93392" w:rsidRPr="00D93392" w:rsidRDefault="00D93392" w:rsidP="00D9339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“Although these findings suggest a possible association, they do not demonstrate causation.”</w:t>
      </w:r>
    </w:p>
    <w:p w:rsidR="00D93392" w:rsidRPr="00D93392" w:rsidRDefault="00D93392" w:rsidP="00D9339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“Beyond behavioral outcomes, pornography may influence viewers through the sexual scripts it presents.”</w:t>
      </w:r>
    </w:p>
    <w:p w:rsidR="00D93392" w:rsidRPr="00D93392" w:rsidRDefault="00D93392" w:rsidP="00D9339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“Interpreting these findings also requires attention to the ethical limitations of research involving minors.”</w:t>
      </w:r>
    </w:p>
    <w:p w:rsidR="00D93392" w:rsidRPr="00D93392" w:rsidRDefault="00D93392" w:rsidP="00D9339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“These ethical restrictions contribute to several methodological challenges.”</w:t>
      </w:r>
    </w:p>
    <w:p w:rsidR="00D93392" w:rsidRPr="00D93392" w:rsidRDefault="00D93392" w:rsidP="00D9339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“Research limitations are further complicated by cultural and gender differences.”</w:t>
      </w:r>
    </w:p>
    <w:p w:rsidR="00D93392" w:rsidRPr="00D93392" w:rsidRDefault="00D93392" w:rsidP="00D9339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“Despite these uncertainties, technological and social changes have altered the context in which exposure occurs.”</w:t>
      </w:r>
    </w:p>
    <w:p w:rsidR="00D93392" w:rsidRPr="00D93392" w:rsidRDefault="00D93392" w:rsidP="00D93392">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“Taken together, the evidence supports a contextual rather than categorical understanding of pornography use.”</w:t>
      </w:r>
    </w:p>
    <w:p w:rsidR="00D93392" w:rsidRPr="00D93392" w:rsidRDefault="00D93392" w:rsidP="00D9339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93392">
        <w:rPr>
          <w:rFonts w:ascii="Times New Roman" w:eastAsia="Times New Roman" w:hAnsi="Times New Roman" w:cs="Times New Roman"/>
          <w:b/>
          <w:bCs/>
          <w:kern w:val="36"/>
          <w:sz w:val="48"/>
          <w:szCs w:val="48"/>
          <w14:ligatures w14:val="none"/>
        </w:rPr>
        <w:t>APA Reference Scaffolds</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 xml:space="preserve">Alexopoulos, C., &amp; Cingel, D. P. (2023). Sexual consent on television: Differing portrayal effects on adolescent viewers. </w:t>
      </w:r>
      <w:r w:rsidRPr="00D93392">
        <w:rPr>
          <w:rFonts w:ascii="Times New Roman" w:eastAsia="Times New Roman" w:hAnsi="Times New Roman" w:cs="Times New Roman"/>
          <w:i/>
          <w:iCs/>
          <w:kern w:val="0"/>
          <w14:ligatures w14:val="none"/>
        </w:rPr>
        <w:t>Archives of Sexual Behavior, 52</w:t>
      </w:r>
      <w:r w:rsidRPr="00D93392">
        <w:rPr>
          <w:rFonts w:ascii="Times New Roman" w:eastAsia="Times New Roman" w:hAnsi="Times New Roman" w:cs="Times New Roman"/>
          <w:kern w:val="0"/>
          <w14:ligatures w14:val="none"/>
        </w:rPr>
        <w:t xml:space="preserve">, 2589–2604. </w:t>
      </w:r>
      <w:hyperlink r:id="rId5" w:history="1">
        <w:r w:rsidRPr="00D93392">
          <w:rPr>
            <w:rFonts w:ascii="Times New Roman" w:eastAsia="Times New Roman" w:hAnsi="Times New Roman" w:cs="Times New Roman"/>
            <w:color w:val="0000FF"/>
            <w:kern w:val="0"/>
            <w:u w:val="single"/>
            <w14:ligatures w14:val="none"/>
          </w:rPr>
          <w:t>https://doi.org/10.1007/s10508-023-02563-0</w:t>
        </w:r>
      </w:hyperlink>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 xml:space="preserve">Chatterjee, S., &amp; Kar, S. K. (2023). Teen pornography: An emerging mental health challenge. </w:t>
      </w:r>
      <w:r w:rsidRPr="00D93392">
        <w:rPr>
          <w:rFonts w:ascii="Times New Roman" w:eastAsia="Times New Roman" w:hAnsi="Times New Roman" w:cs="Times New Roman"/>
          <w:i/>
          <w:iCs/>
          <w:kern w:val="0"/>
          <w14:ligatures w14:val="none"/>
        </w:rPr>
        <w:t>Journal of Psychosexual Health, 5</w:t>
      </w:r>
      <w:r w:rsidRPr="00D93392">
        <w:rPr>
          <w:rFonts w:ascii="Times New Roman" w:eastAsia="Times New Roman" w:hAnsi="Times New Roman" w:cs="Times New Roman"/>
          <w:kern w:val="0"/>
          <w14:ligatures w14:val="none"/>
        </w:rPr>
        <w:t xml:space="preserve">(1), 30–34. </w:t>
      </w:r>
      <w:hyperlink r:id="rId6" w:history="1">
        <w:r w:rsidRPr="00D93392">
          <w:rPr>
            <w:rFonts w:ascii="Times New Roman" w:eastAsia="Times New Roman" w:hAnsi="Times New Roman" w:cs="Times New Roman"/>
            <w:color w:val="0000FF"/>
            <w:kern w:val="0"/>
            <w:u w:val="single"/>
            <w14:ligatures w14:val="none"/>
          </w:rPr>
          <w:t>https://doi.org/10.1177/26318318231154230</w:t>
        </w:r>
      </w:hyperlink>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 xml:space="preserve">King, B. M., &amp; Regan, P. C. (2019). </w:t>
      </w:r>
      <w:r w:rsidRPr="00D93392">
        <w:rPr>
          <w:rFonts w:ascii="Times New Roman" w:eastAsia="Times New Roman" w:hAnsi="Times New Roman" w:cs="Times New Roman"/>
          <w:i/>
          <w:iCs/>
          <w:kern w:val="0"/>
          <w14:ligatures w14:val="none"/>
        </w:rPr>
        <w:t>Human sexuality today</w:t>
      </w:r>
      <w:r w:rsidRPr="00D93392">
        <w:rPr>
          <w:rFonts w:ascii="Times New Roman" w:eastAsia="Times New Roman" w:hAnsi="Times New Roman" w:cs="Times New Roman"/>
          <w:kern w:val="0"/>
          <w14:ligatures w14:val="none"/>
        </w:rPr>
        <w:t xml:space="preserve"> (9th ed.). Pearson.</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 xml:space="preserve">Pathmendra, P., Raggatt, M., Lim, M. S. C., Marino, J. L., &amp; Skinner, S. R. (2023). Exposure to pornography and adolescent sexual behavior: Systematic review. </w:t>
      </w:r>
      <w:r w:rsidRPr="00D93392">
        <w:rPr>
          <w:rFonts w:ascii="Times New Roman" w:eastAsia="Times New Roman" w:hAnsi="Times New Roman" w:cs="Times New Roman"/>
          <w:i/>
          <w:iCs/>
          <w:kern w:val="0"/>
          <w14:ligatures w14:val="none"/>
        </w:rPr>
        <w:t>Journal of Medical Internet Research, 25</w:t>
      </w:r>
      <w:r w:rsidRPr="00D93392">
        <w:rPr>
          <w:rFonts w:ascii="Times New Roman" w:eastAsia="Times New Roman" w:hAnsi="Times New Roman" w:cs="Times New Roman"/>
          <w:kern w:val="0"/>
          <w14:ligatures w14:val="none"/>
        </w:rPr>
        <w:t xml:space="preserve">, e43116. </w:t>
      </w:r>
      <w:hyperlink r:id="rId7" w:history="1">
        <w:r w:rsidRPr="00D93392">
          <w:rPr>
            <w:rFonts w:ascii="Times New Roman" w:eastAsia="Times New Roman" w:hAnsi="Times New Roman" w:cs="Times New Roman"/>
            <w:color w:val="0000FF"/>
            <w:kern w:val="0"/>
            <w:u w:val="single"/>
            <w14:ligatures w14:val="none"/>
          </w:rPr>
          <w:t>https://doi.org/10.2196/43116</w:t>
        </w:r>
      </w:hyperlink>
    </w:p>
    <w:p w:rsidR="00D93392" w:rsidRPr="00D93392" w:rsidRDefault="00D93392" w:rsidP="00D9339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93392">
        <w:rPr>
          <w:rFonts w:ascii="Times New Roman" w:eastAsia="Times New Roman" w:hAnsi="Times New Roman" w:cs="Times New Roman"/>
          <w:b/>
          <w:bCs/>
          <w:kern w:val="36"/>
          <w:sz w:val="48"/>
          <w:szCs w:val="48"/>
          <w14:ligatures w14:val="none"/>
        </w:rPr>
        <w:t>Final Rubric Checklist</w:t>
      </w:r>
    </w:p>
    <w:p w:rsidR="00D93392" w:rsidRPr="00D93392" w:rsidRDefault="00D93392" w:rsidP="00D93392">
      <w:p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Before submitting, confirm that the paper:</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Defines pornography and problematic pornography use.</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Explains when viewing may be healthy and when it becomes unhealthy.</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Applies sexual-script theory or another relevant concept.</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Presents findings from at least two peer-reviewed articles.</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Includes study details and examples.</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Distinguishes correlation from causation.</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Applies APA ethical principles.</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Provides an example of an ethical violation or best practice.</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Defines the IRB and explains its role.</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Discusses methodological research challenges.</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Includes specific sociocultural factors.</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Explains social and technological changes during the past decade.</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lastRenderedPageBreak/>
        <w:t>Includes a personalized work-related example.</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Uses a clear thesis, transitions, and conclusion.</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Uses APA-style author–year citations.</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Includes a properly formatted reference page.</w:t>
      </w:r>
    </w:p>
    <w:p w:rsidR="00D93392" w:rsidRPr="00D93392" w:rsidRDefault="00D93392" w:rsidP="00D93392">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D93392">
        <w:rPr>
          <w:rFonts w:ascii="Times New Roman" w:eastAsia="Times New Roman" w:hAnsi="Times New Roman" w:cs="Times New Roman"/>
          <w:kern w:val="0"/>
          <w14:ligatures w14:val="none"/>
        </w:rPr>
        <w:t>Remains within 3–5 double-spaced body pages.</w:t>
      </w:r>
    </w:p>
    <w:p w:rsidR="00733404" w:rsidRDefault="00733404"/>
    <w:sectPr w:rsidR="00733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4793"/>
    <w:multiLevelType w:val="multilevel"/>
    <w:tmpl w:val="11CA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35509"/>
    <w:multiLevelType w:val="multilevel"/>
    <w:tmpl w:val="18EE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9300A"/>
    <w:multiLevelType w:val="multilevel"/>
    <w:tmpl w:val="605A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A151B"/>
    <w:multiLevelType w:val="multilevel"/>
    <w:tmpl w:val="DFEE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800B6"/>
    <w:multiLevelType w:val="multilevel"/>
    <w:tmpl w:val="C7CC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F1442"/>
    <w:multiLevelType w:val="multilevel"/>
    <w:tmpl w:val="ACEC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32C30"/>
    <w:multiLevelType w:val="multilevel"/>
    <w:tmpl w:val="E5A8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D1734"/>
    <w:multiLevelType w:val="multilevel"/>
    <w:tmpl w:val="D7E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F75B4"/>
    <w:multiLevelType w:val="multilevel"/>
    <w:tmpl w:val="A07C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13122"/>
    <w:multiLevelType w:val="multilevel"/>
    <w:tmpl w:val="2E3E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D01C6"/>
    <w:multiLevelType w:val="multilevel"/>
    <w:tmpl w:val="5A56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32193"/>
    <w:multiLevelType w:val="multilevel"/>
    <w:tmpl w:val="70B8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627AA7"/>
    <w:multiLevelType w:val="multilevel"/>
    <w:tmpl w:val="601E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C3C53"/>
    <w:multiLevelType w:val="multilevel"/>
    <w:tmpl w:val="E85A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0C06E5"/>
    <w:multiLevelType w:val="multilevel"/>
    <w:tmpl w:val="70D2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A14C02"/>
    <w:multiLevelType w:val="multilevel"/>
    <w:tmpl w:val="6B24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F0100D"/>
    <w:multiLevelType w:val="multilevel"/>
    <w:tmpl w:val="0E06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840199"/>
    <w:multiLevelType w:val="multilevel"/>
    <w:tmpl w:val="02EC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C3F03"/>
    <w:multiLevelType w:val="multilevel"/>
    <w:tmpl w:val="0DF2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185EC9"/>
    <w:multiLevelType w:val="multilevel"/>
    <w:tmpl w:val="12C0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1F3240"/>
    <w:multiLevelType w:val="multilevel"/>
    <w:tmpl w:val="F7F6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257846"/>
    <w:multiLevelType w:val="multilevel"/>
    <w:tmpl w:val="AAE2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E83AA7"/>
    <w:multiLevelType w:val="multilevel"/>
    <w:tmpl w:val="A1B2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9F3586"/>
    <w:multiLevelType w:val="multilevel"/>
    <w:tmpl w:val="2D30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A60B14"/>
    <w:multiLevelType w:val="multilevel"/>
    <w:tmpl w:val="60FC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9B2BDA"/>
    <w:multiLevelType w:val="multilevel"/>
    <w:tmpl w:val="0268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520038"/>
    <w:multiLevelType w:val="multilevel"/>
    <w:tmpl w:val="0C0C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EB7222"/>
    <w:multiLevelType w:val="multilevel"/>
    <w:tmpl w:val="8378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1F4488"/>
    <w:multiLevelType w:val="multilevel"/>
    <w:tmpl w:val="9D8A4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131627"/>
    <w:multiLevelType w:val="multilevel"/>
    <w:tmpl w:val="222C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A129B6"/>
    <w:multiLevelType w:val="multilevel"/>
    <w:tmpl w:val="E12A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D90968"/>
    <w:multiLevelType w:val="multilevel"/>
    <w:tmpl w:val="F43C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1A4611"/>
    <w:multiLevelType w:val="multilevel"/>
    <w:tmpl w:val="86A0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AB00E8"/>
    <w:multiLevelType w:val="multilevel"/>
    <w:tmpl w:val="EED0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5F06CB"/>
    <w:multiLevelType w:val="multilevel"/>
    <w:tmpl w:val="9D12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EE431A"/>
    <w:multiLevelType w:val="multilevel"/>
    <w:tmpl w:val="F6D8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346057">
    <w:abstractNumId w:val="8"/>
  </w:num>
  <w:num w:numId="2" w16cid:durableId="1218663881">
    <w:abstractNumId w:val="24"/>
  </w:num>
  <w:num w:numId="3" w16cid:durableId="1894585437">
    <w:abstractNumId w:val="13"/>
  </w:num>
  <w:num w:numId="4" w16cid:durableId="1725445689">
    <w:abstractNumId w:val="23"/>
  </w:num>
  <w:num w:numId="5" w16cid:durableId="1646086264">
    <w:abstractNumId w:val="19"/>
  </w:num>
  <w:num w:numId="6" w16cid:durableId="177156522">
    <w:abstractNumId w:val="22"/>
  </w:num>
  <w:num w:numId="7" w16cid:durableId="2001543159">
    <w:abstractNumId w:val="29"/>
  </w:num>
  <w:num w:numId="8" w16cid:durableId="1815635075">
    <w:abstractNumId w:val="25"/>
  </w:num>
  <w:num w:numId="9" w16cid:durableId="755444558">
    <w:abstractNumId w:val="10"/>
  </w:num>
  <w:num w:numId="10" w16cid:durableId="24914976">
    <w:abstractNumId w:val="5"/>
  </w:num>
  <w:num w:numId="11" w16cid:durableId="905341295">
    <w:abstractNumId w:val="34"/>
  </w:num>
  <w:num w:numId="12" w16cid:durableId="1437484458">
    <w:abstractNumId w:val="4"/>
  </w:num>
  <w:num w:numId="13" w16cid:durableId="1609702354">
    <w:abstractNumId w:val="21"/>
  </w:num>
  <w:num w:numId="14" w16cid:durableId="1118141058">
    <w:abstractNumId w:val="27"/>
  </w:num>
  <w:num w:numId="15" w16cid:durableId="853960783">
    <w:abstractNumId w:val="9"/>
  </w:num>
  <w:num w:numId="16" w16cid:durableId="511115990">
    <w:abstractNumId w:val="28"/>
  </w:num>
  <w:num w:numId="17" w16cid:durableId="1062631564">
    <w:abstractNumId w:val="35"/>
  </w:num>
  <w:num w:numId="18" w16cid:durableId="1746295657">
    <w:abstractNumId w:val="17"/>
  </w:num>
  <w:num w:numId="19" w16cid:durableId="1882745540">
    <w:abstractNumId w:val="2"/>
  </w:num>
  <w:num w:numId="20" w16cid:durableId="1122646707">
    <w:abstractNumId w:val="7"/>
  </w:num>
  <w:num w:numId="21" w16cid:durableId="750199249">
    <w:abstractNumId w:val="6"/>
  </w:num>
  <w:num w:numId="22" w16cid:durableId="952395497">
    <w:abstractNumId w:val="33"/>
  </w:num>
  <w:num w:numId="23" w16cid:durableId="136068127">
    <w:abstractNumId w:val="18"/>
  </w:num>
  <w:num w:numId="24" w16cid:durableId="1126461922">
    <w:abstractNumId w:val="11"/>
  </w:num>
  <w:num w:numId="25" w16cid:durableId="1904557775">
    <w:abstractNumId w:val="12"/>
  </w:num>
  <w:num w:numId="26" w16cid:durableId="1957784976">
    <w:abstractNumId w:val="15"/>
  </w:num>
  <w:num w:numId="27" w16cid:durableId="723522223">
    <w:abstractNumId w:val="31"/>
  </w:num>
  <w:num w:numId="28" w16cid:durableId="598217388">
    <w:abstractNumId w:val="26"/>
  </w:num>
  <w:num w:numId="29" w16cid:durableId="1722172029">
    <w:abstractNumId w:val="32"/>
  </w:num>
  <w:num w:numId="30" w16cid:durableId="1114522763">
    <w:abstractNumId w:val="1"/>
  </w:num>
  <w:num w:numId="31" w16cid:durableId="1648783604">
    <w:abstractNumId w:val="20"/>
  </w:num>
  <w:num w:numId="32" w16cid:durableId="1654603923">
    <w:abstractNumId w:val="0"/>
  </w:num>
  <w:num w:numId="33" w16cid:durableId="538976746">
    <w:abstractNumId w:val="30"/>
  </w:num>
  <w:num w:numId="34" w16cid:durableId="1565139921">
    <w:abstractNumId w:val="14"/>
  </w:num>
  <w:num w:numId="35" w16cid:durableId="151607388">
    <w:abstractNumId w:val="16"/>
  </w:num>
  <w:num w:numId="36" w16cid:durableId="1520705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392"/>
    <w:rsid w:val="000A21F1"/>
    <w:rsid w:val="001B27A8"/>
    <w:rsid w:val="001E4167"/>
    <w:rsid w:val="00392A23"/>
    <w:rsid w:val="0040695B"/>
    <w:rsid w:val="00714DD7"/>
    <w:rsid w:val="00733404"/>
    <w:rsid w:val="00790C2E"/>
    <w:rsid w:val="0093753A"/>
    <w:rsid w:val="00D35D34"/>
    <w:rsid w:val="00D93392"/>
    <w:rsid w:val="00E2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0D519F2-E2BD-C045-AF7B-C6E020EB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3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933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933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33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33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33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3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3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3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3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933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933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33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33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33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3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3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392"/>
    <w:rPr>
      <w:rFonts w:eastAsiaTheme="majorEastAsia" w:cstheme="majorBidi"/>
      <w:color w:val="272727" w:themeColor="text1" w:themeTint="D8"/>
    </w:rPr>
  </w:style>
  <w:style w:type="paragraph" w:styleId="Title">
    <w:name w:val="Title"/>
    <w:basedOn w:val="Normal"/>
    <w:next w:val="Normal"/>
    <w:link w:val="TitleChar"/>
    <w:uiPriority w:val="10"/>
    <w:qFormat/>
    <w:rsid w:val="00D93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3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3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3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392"/>
    <w:pPr>
      <w:spacing w:before="160"/>
      <w:jc w:val="center"/>
    </w:pPr>
    <w:rPr>
      <w:i/>
      <w:iCs/>
      <w:color w:val="404040" w:themeColor="text1" w:themeTint="BF"/>
    </w:rPr>
  </w:style>
  <w:style w:type="character" w:customStyle="1" w:styleId="QuoteChar">
    <w:name w:val="Quote Char"/>
    <w:basedOn w:val="DefaultParagraphFont"/>
    <w:link w:val="Quote"/>
    <w:uiPriority w:val="29"/>
    <w:rsid w:val="00D93392"/>
    <w:rPr>
      <w:i/>
      <w:iCs/>
      <w:color w:val="404040" w:themeColor="text1" w:themeTint="BF"/>
    </w:rPr>
  </w:style>
  <w:style w:type="paragraph" w:styleId="ListParagraph">
    <w:name w:val="List Paragraph"/>
    <w:basedOn w:val="Normal"/>
    <w:uiPriority w:val="34"/>
    <w:qFormat/>
    <w:rsid w:val="00D93392"/>
    <w:pPr>
      <w:ind w:left="720"/>
      <w:contextualSpacing/>
    </w:pPr>
  </w:style>
  <w:style w:type="character" w:styleId="IntenseEmphasis">
    <w:name w:val="Intense Emphasis"/>
    <w:basedOn w:val="DefaultParagraphFont"/>
    <w:uiPriority w:val="21"/>
    <w:qFormat/>
    <w:rsid w:val="00D93392"/>
    <w:rPr>
      <w:i/>
      <w:iCs/>
      <w:color w:val="2F5496" w:themeColor="accent1" w:themeShade="BF"/>
    </w:rPr>
  </w:style>
  <w:style w:type="paragraph" w:styleId="IntenseQuote">
    <w:name w:val="Intense Quote"/>
    <w:basedOn w:val="Normal"/>
    <w:next w:val="Normal"/>
    <w:link w:val="IntenseQuoteChar"/>
    <w:uiPriority w:val="30"/>
    <w:qFormat/>
    <w:rsid w:val="00D933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3392"/>
    <w:rPr>
      <w:i/>
      <w:iCs/>
      <w:color w:val="2F5496" w:themeColor="accent1" w:themeShade="BF"/>
    </w:rPr>
  </w:style>
  <w:style w:type="character" w:styleId="IntenseReference">
    <w:name w:val="Intense Reference"/>
    <w:basedOn w:val="DefaultParagraphFont"/>
    <w:uiPriority w:val="32"/>
    <w:qFormat/>
    <w:rsid w:val="00D93392"/>
    <w:rPr>
      <w:b/>
      <w:bCs/>
      <w:smallCaps/>
      <w:color w:val="2F5496" w:themeColor="accent1" w:themeShade="BF"/>
      <w:spacing w:val="5"/>
    </w:rPr>
  </w:style>
  <w:style w:type="paragraph" w:styleId="NormalWeb">
    <w:name w:val="Normal (Web)"/>
    <w:basedOn w:val="Normal"/>
    <w:uiPriority w:val="99"/>
    <w:semiHidden/>
    <w:unhideWhenUsed/>
    <w:rsid w:val="00D933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93392"/>
    <w:rPr>
      <w:b/>
      <w:bCs/>
    </w:rPr>
  </w:style>
  <w:style w:type="character" w:styleId="Emphasis">
    <w:name w:val="Emphasis"/>
    <w:basedOn w:val="DefaultParagraphFont"/>
    <w:uiPriority w:val="20"/>
    <w:qFormat/>
    <w:rsid w:val="00D93392"/>
    <w:rPr>
      <w:i/>
      <w:iCs/>
    </w:rPr>
  </w:style>
  <w:style w:type="character" w:styleId="Hyperlink">
    <w:name w:val="Hyperlink"/>
    <w:basedOn w:val="DefaultParagraphFont"/>
    <w:uiPriority w:val="99"/>
    <w:semiHidden/>
    <w:unhideWhenUsed/>
    <w:rsid w:val="00D933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196/431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77/26318318231154230" TargetMode="External"/><Relationship Id="rId5" Type="http://schemas.openxmlformats.org/officeDocument/2006/relationships/hyperlink" Target="https://doi.org/10.1007/s10508-023-02563-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3116</Words>
  <Characters>17766</Characters>
  <Application>Microsoft Office Word</Application>
  <DocSecurity>0</DocSecurity>
  <Lines>148</Lines>
  <Paragraphs>41</Paragraphs>
  <ScaleCrop>false</ScaleCrop>
  <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2026-09-01T04:21:00Z</dcterms:created>
  <dcterms:modified xsi:type="dcterms:W3CDTF">2026-09-01T04:23:00Z</dcterms:modified>
</cp:coreProperties>
</file>